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94"/>
        <w:gridCol w:w="2394"/>
        <w:gridCol w:w="2394"/>
        <w:gridCol w:w="2394"/>
      </w:tblGrid>
      <w:tr w:rsidR="009625A4" w:rsidRPr="007671D8" w:rsidTr="00E52BC7">
        <w:tc>
          <w:tcPr>
            <w:tcW w:w="2394" w:type="dxa"/>
          </w:tcPr>
          <w:p w:rsidR="009625A4" w:rsidRPr="007671D8" w:rsidRDefault="009625A4" w:rsidP="00E52BC7">
            <w:pPr>
              <w:rPr>
                <w:rFonts w:ascii="Arial" w:hAnsi="Arial" w:cs="Arial"/>
                <w:b/>
              </w:rPr>
            </w:pPr>
            <w:r w:rsidRPr="007671D8">
              <w:rPr>
                <w:rFonts w:ascii="Arial" w:hAnsi="Arial" w:cs="Arial"/>
                <w:b/>
              </w:rPr>
              <w:t>Chd 205</w:t>
            </w:r>
          </w:p>
        </w:tc>
        <w:tc>
          <w:tcPr>
            <w:tcW w:w="7182" w:type="dxa"/>
            <w:gridSpan w:val="3"/>
          </w:tcPr>
          <w:p w:rsidR="009625A4" w:rsidRPr="007671D8" w:rsidRDefault="009625A4" w:rsidP="00E52BC7">
            <w:pPr>
              <w:shd w:val="clear" w:color="auto" w:fill="FFFFFF"/>
              <w:spacing w:before="100" w:beforeAutospacing="1" w:after="100" w:afterAutospacing="1"/>
              <w:outlineLvl w:val="2"/>
              <w:rPr>
                <w:rFonts w:ascii="Arial" w:eastAsia="Times New Roman" w:hAnsi="Arial" w:cs="Arial"/>
                <w:b/>
                <w:i/>
                <w:color w:val="000000"/>
              </w:rPr>
            </w:pPr>
            <w:r w:rsidRPr="007671D8">
              <w:rPr>
                <w:rFonts w:ascii="Arial" w:eastAsia="Times New Roman" w:hAnsi="Arial" w:cs="Arial"/>
                <w:b/>
                <w:bCs/>
                <w:color w:val="FF0000"/>
              </w:rPr>
              <w:t xml:space="preserve">Objective One: </w:t>
            </w:r>
            <w:r w:rsidRPr="007671D8">
              <w:rPr>
                <w:rFonts w:ascii="Arial" w:eastAsia="Times New Roman" w:hAnsi="Arial" w:cs="Arial"/>
                <w:b/>
                <w:bCs/>
                <w:i/>
              </w:rPr>
              <w:t>Students will d</w:t>
            </w:r>
            <w:r w:rsidRPr="007671D8">
              <w:rPr>
                <w:rFonts w:ascii="Arial" w:eastAsia="Times New Roman" w:hAnsi="Arial" w:cs="Arial"/>
                <w:b/>
                <w:i/>
                <w:color w:val="000000"/>
              </w:rPr>
              <w:t>efine self-regulation in young children and describe strategies that can be used in an early childhood classroom to aid children in their ability to self-regulate.</w:t>
            </w:r>
          </w:p>
        </w:tc>
      </w:tr>
      <w:tr w:rsidR="009625A4" w:rsidRPr="007671D8" w:rsidTr="00E52BC7">
        <w:tc>
          <w:tcPr>
            <w:tcW w:w="9576" w:type="dxa"/>
            <w:gridSpan w:val="4"/>
          </w:tcPr>
          <w:p w:rsidR="009625A4" w:rsidRPr="007671D8" w:rsidRDefault="009625A4" w:rsidP="00E52BC7">
            <w:pPr>
              <w:outlineLvl w:val="2"/>
              <w:rPr>
                <w:rFonts w:ascii="Arial" w:eastAsia="Times New Roman" w:hAnsi="Arial" w:cs="Arial"/>
                <w:b/>
                <w:bCs/>
              </w:rPr>
            </w:pPr>
            <w:r w:rsidRPr="007671D8">
              <w:rPr>
                <w:rFonts w:ascii="Arial" w:eastAsia="Times New Roman" w:hAnsi="Arial" w:cs="Arial"/>
                <w:b/>
                <w:bCs/>
              </w:rPr>
              <w:t>Activity 205 A: Understanding self-regulation in young children</w:t>
            </w:r>
          </w:p>
          <w:p w:rsidR="009625A4" w:rsidRPr="007671D8" w:rsidRDefault="009625A4" w:rsidP="00E52BC7">
            <w:pPr>
              <w:shd w:val="clear" w:color="auto" w:fill="FFFFFF"/>
              <w:rPr>
                <w:rFonts w:ascii="Arial" w:eastAsia="Times New Roman" w:hAnsi="Arial" w:cs="Arial"/>
                <w:i/>
              </w:rPr>
            </w:pPr>
            <w:r w:rsidRPr="007671D8">
              <w:rPr>
                <w:rFonts w:ascii="Arial" w:eastAsia="Times New Roman" w:hAnsi="Arial" w:cs="Arial"/>
                <w:b/>
                <w:bCs/>
              </w:rPr>
              <w:t xml:space="preserve">Resource: </w:t>
            </w:r>
            <w:bookmarkStart w:id="0" w:name="x-205_Course_Objectives-Activity_205_A:_"/>
            <w:bookmarkStart w:id="1" w:name="x-205_Course_Objectives-Read_the_article"/>
            <w:bookmarkEnd w:id="0"/>
            <w:bookmarkEnd w:id="1"/>
            <w:r w:rsidRPr="007671D8">
              <w:rPr>
                <w:rFonts w:ascii="Arial" w:eastAsia="Times New Roman" w:hAnsi="Arial" w:cs="Arial"/>
                <w:bCs/>
                <w:u w:val="single"/>
              </w:rPr>
              <w:t>READ</w:t>
            </w:r>
            <w:r w:rsidRPr="007671D8">
              <w:rPr>
                <w:rFonts w:ascii="Arial" w:eastAsia="Times New Roman" w:hAnsi="Arial" w:cs="Arial"/>
                <w:bCs/>
              </w:rPr>
              <w:t xml:space="preserve"> the article</w:t>
            </w:r>
            <w:r w:rsidRPr="007671D8">
              <w:rPr>
                <w:rFonts w:ascii="Arial" w:eastAsia="Times New Roman" w:hAnsi="Arial" w:cs="Arial"/>
                <w:b/>
                <w:bCs/>
              </w:rPr>
              <w:t xml:space="preserve"> </w:t>
            </w:r>
            <w:r w:rsidRPr="007671D8">
              <w:rPr>
                <w:rFonts w:ascii="Arial" w:eastAsia="Times New Roman" w:hAnsi="Arial" w:cs="Arial"/>
                <w:i/>
              </w:rPr>
              <w:t>"Self-Regulation: Cornerstone of Early Childhood Development"</w:t>
            </w:r>
          </w:p>
          <w:p w:rsidR="009625A4" w:rsidRPr="007671D8" w:rsidRDefault="000A6DDA" w:rsidP="00E52BC7">
            <w:pPr>
              <w:shd w:val="clear" w:color="auto" w:fill="FFFFFF"/>
              <w:rPr>
                <w:rFonts w:ascii="Arial" w:eastAsia="Times New Roman" w:hAnsi="Arial" w:cs="Arial"/>
                <w:u w:val="single"/>
              </w:rPr>
            </w:pPr>
            <w:r>
              <w:rPr>
                <w:rFonts w:ascii="Arial" w:eastAsia="Times New Roman" w:hAnsi="Arial" w:cs="Arial"/>
                <w:u w:val="single"/>
              </w:rPr>
              <w:t>A</w:t>
            </w:r>
            <w:r w:rsidR="009625A4" w:rsidRPr="007671D8">
              <w:rPr>
                <w:rFonts w:ascii="Arial" w:eastAsia="Times New Roman" w:hAnsi="Arial" w:cs="Arial"/>
                <w:u w:val="single"/>
              </w:rPr>
              <w:t>nswer the following questions:</w:t>
            </w:r>
          </w:p>
          <w:p w:rsidR="009625A4" w:rsidRDefault="009625A4" w:rsidP="00E52BC7">
            <w:pPr>
              <w:rPr>
                <w:rFonts w:ascii="Arial" w:eastAsia="Times New Roman" w:hAnsi="Arial" w:cs="Arial"/>
              </w:rPr>
            </w:pPr>
            <w:r w:rsidRPr="007671D8">
              <w:rPr>
                <w:rFonts w:ascii="Arial" w:eastAsia="Times New Roman" w:hAnsi="Arial" w:cs="Arial"/>
              </w:rPr>
              <w:t>1. What is meant by 'external supports' as a child develops in his/her ability to self-regulate?</w:t>
            </w:r>
            <w:r w:rsidRPr="007671D8">
              <w:rPr>
                <w:rFonts w:ascii="Arial" w:eastAsia="Times New Roman" w:hAnsi="Arial" w:cs="Arial"/>
              </w:rPr>
              <w:br/>
              <w:t>2. How does a child's temperament impact his/her ability to self-regulate?</w:t>
            </w:r>
            <w:r w:rsidRPr="007671D8">
              <w:rPr>
                <w:rFonts w:ascii="Arial" w:eastAsia="Times New Roman" w:hAnsi="Arial" w:cs="Arial"/>
              </w:rPr>
              <w:br/>
              <w:t>3. Describe, in your own words, the term 'goodness of fit' and how 'goodness of fit' might aid teachers in selecting strategies to facilitate children as they develop their ability to self-regulate</w:t>
            </w:r>
          </w:p>
          <w:p w:rsidR="000A6DDA" w:rsidRDefault="000A6DDA" w:rsidP="00E52BC7">
            <w:pPr>
              <w:rPr>
                <w:rFonts w:ascii="Arial" w:eastAsia="Times New Roman" w:hAnsi="Arial" w:cs="Arial"/>
              </w:rPr>
            </w:pPr>
            <w:bookmarkStart w:id="2" w:name="_GoBack"/>
            <w:bookmarkEnd w:id="2"/>
          </w:p>
          <w:p w:rsidR="000A6DDA" w:rsidRDefault="000A6DDA" w:rsidP="000A6DDA">
            <w:pPr>
              <w:shd w:val="clear" w:color="auto" w:fill="FFFFFF"/>
              <w:outlineLvl w:val="2"/>
              <w:rPr>
                <w:rFonts w:ascii="Arial" w:hAnsi="Arial" w:cs="Arial"/>
              </w:rPr>
            </w:pPr>
            <w:r w:rsidRPr="00FD6163">
              <w:rPr>
                <w:rFonts w:ascii="Arial" w:eastAsia="Times New Roman" w:hAnsi="Arial" w:cs="Arial"/>
                <w:b/>
                <w:bCs/>
              </w:rPr>
              <w:t xml:space="preserve">Activity 205 B: </w:t>
            </w:r>
            <w:r>
              <w:rPr>
                <w:rFonts w:ascii="Arial" w:eastAsia="Times New Roman" w:hAnsi="Arial" w:cs="Arial"/>
                <w:b/>
                <w:bCs/>
              </w:rPr>
              <w:t>U</w:t>
            </w:r>
            <w:r w:rsidRPr="00FD6163">
              <w:rPr>
                <w:rFonts w:ascii="Arial" w:eastAsia="Times New Roman" w:hAnsi="Arial" w:cs="Arial"/>
                <w:b/>
                <w:bCs/>
              </w:rPr>
              <w:t xml:space="preserve">nderstanding </w:t>
            </w:r>
            <w:r w:rsidRPr="00FD6163">
              <w:rPr>
                <w:rFonts w:ascii="Arial" w:eastAsia="Times New Roman" w:hAnsi="Arial" w:cs="Arial"/>
                <w:b/>
                <w:color w:val="000000"/>
              </w:rPr>
              <w:t>sensory processing</w:t>
            </w:r>
            <w:r w:rsidRPr="00B46E02">
              <w:rPr>
                <w:rFonts w:ascii="Arial" w:eastAsia="Times New Roman" w:hAnsi="Arial" w:cs="Arial"/>
                <w:b/>
                <w:i/>
                <w:color w:val="000000"/>
              </w:rPr>
              <w:t xml:space="preserve"> </w:t>
            </w:r>
          </w:p>
          <w:p w:rsidR="000A6DDA" w:rsidRDefault="000A6DDA" w:rsidP="000A6DDA">
            <w:pPr>
              <w:shd w:val="clear" w:color="auto" w:fill="FFFFFF"/>
              <w:outlineLvl w:val="2"/>
              <w:rPr>
                <w:rFonts w:ascii="Arial" w:hAnsi="Arial" w:cs="Arial"/>
              </w:rPr>
            </w:pPr>
            <w:r w:rsidRPr="00FD6163">
              <w:rPr>
                <w:rFonts w:ascii="Arial" w:hAnsi="Arial" w:cs="Arial"/>
                <w:b/>
              </w:rPr>
              <w:t xml:space="preserve">Resource: </w:t>
            </w:r>
            <w:r w:rsidRPr="00237AD0">
              <w:rPr>
                <w:rFonts w:ascii="Arial" w:hAnsi="Arial" w:cs="Arial"/>
                <w:u w:val="single"/>
              </w:rPr>
              <w:t>READ</w:t>
            </w:r>
            <w:r>
              <w:rPr>
                <w:rFonts w:ascii="Arial" w:hAnsi="Arial" w:cs="Arial"/>
              </w:rPr>
              <w:t xml:space="preserve">: </w:t>
            </w:r>
            <w:r w:rsidRPr="00B46E02">
              <w:rPr>
                <w:rFonts w:ascii="Arial" w:hAnsi="Arial" w:cs="Arial"/>
              </w:rPr>
              <w:t>Handouts</w:t>
            </w:r>
            <w:r>
              <w:rPr>
                <w:rFonts w:ascii="Arial" w:hAnsi="Arial" w:cs="Arial"/>
              </w:rPr>
              <w:t xml:space="preserve"> </w:t>
            </w:r>
            <w:r w:rsidRPr="00B46E02">
              <w:rPr>
                <w:rFonts w:ascii="Arial" w:hAnsi="Arial" w:cs="Arial"/>
                <w:i/>
              </w:rPr>
              <w:t>Sensory Processing Disorder</w:t>
            </w:r>
            <w:r>
              <w:rPr>
                <w:rFonts w:ascii="Arial" w:hAnsi="Arial" w:cs="Arial"/>
              </w:rPr>
              <w:t xml:space="preserve">; </w:t>
            </w:r>
            <w:r w:rsidRPr="00FD6163">
              <w:rPr>
                <w:rFonts w:ascii="Arial" w:hAnsi="Arial" w:cs="Arial"/>
                <w:u w:val="single"/>
              </w:rPr>
              <w:t>and</w:t>
            </w:r>
            <w:r>
              <w:rPr>
                <w:rFonts w:ascii="Arial" w:hAnsi="Arial" w:cs="Arial"/>
              </w:rPr>
              <w:t xml:space="preserve"> </w:t>
            </w:r>
            <w:r w:rsidRPr="00B46E02">
              <w:rPr>
                <w:rFonts w:ascii="Arial" w:hAnsi="Arial" w:cs="Arial"/>
                <w:i/>
              </w:rPr>
              <w:t>Strategies for…</w:t>
            </w:r>
            <w:r>
              <w:rPr>
                <w:rFonts w:ascii="Arial" w:hAnsi="Arial" w:cs="Arial"/>
              </w:rPr>
              <w:t xml:space="preserve"> (Lickey)</w:t>
            </w:r>
          </w:p>
          <w:p w:rsidR="000A6DDA" w:rsidRPr="00FD6163" w:rsidRDefault="000A6DDA" w:rsidP="000A6DDA">
            <w:pPr>
              <w:shd w:val="clear" w:color="auto" w:fill="FFFFFF"/>
              <w:rPr>
                <w:rFonts w:ascii="Arial" w:hAnsi="Arial" w:cs="Arial"/>
                <w:b/>
              </w:rPr>
            </w:pPr>
            <w:r>
              <w:rPr>
                <w:rFonts w:ascii="Arial" w:hAnsi="Arial" w:cs="Arial"/>
                <w:b/>
              </w:rPr>
              <w:t xml:space="preserve">Resource:  </w:t>
            </w:r>
            <w:r w:rsidRPr="00FD6163">
              <w:rPr>
                <w:rFonts w:ascii="Arial" w:hAnsi="Arial" w:cs="Arial"/>
                <w:i/>
              </w:rPr>
              <w:t>Kids Included Together</w:t>
            </w:r>
          </w:p>
          <w:p w:rsidR="000A6DDA" w:rsidRPr="000A6DDA" w:rsidRDefault="000A6DDA" w:rsidP="000A6DDA">
            <w:pPr>
              <w:shd w:val="clear" w:color="auto" w:fill="FFFFFF"/>
              <w:rPr>
                <w:rFonts w:ascii="Arial" w:hAnsi="Arial" w:cs="Arial"/>
                <w:i/>
                <w:sz w:val="20"/>
                <w:szCs w:val="20"/>
              </w:rPr>
            </w:pPr>
            <w:r w:rsidRPr="00237AD0">
              <w:rPr>
                <w:rFonts w:ascii="Arial" w:hAnsi="Arial" w:cs="Arial"/>
                <w:u w:val="single"/>
              </w:rPr>
              <w:t>VIEW</w:t>
            </w:r>
            <w:r>
              <w:rPr>
                <w:rFonts w:ascii="Arial" w:hAnsi="Arial" w:cs="Arial"/>
              </w:rPr>
              <w:t xml:space="preserve">: Video online: </w:t>
            </w:r>
            <w:r w:rsidRPr="000A6DDA">
              <w:rPr>
                <w:rFonts w:ascii="Arial" w:hAnsi="Arial" w:cs="Arial"/>
                <w:i/>
                <w:sz w:val="20"/>
                <w:szCs w:val="20"/>
              </w:rPr>
              <w:t>http://www.kitonline.org/html/training-individual/elearning-instructional-videos.html</w:t>
            </w:r>
          </w:p>
          <w:p w:rsidR="000A6DDA" w:rsidRDefault="000A6DDA" w:rsidP="000A6DDA">
            <w:pPr>
              <w:shd w:val="clear" w:color="auto" w:fill="FFFFFF"/>
              <w:rPr>
                <w:rFonts w:ascii="Arial" w:hAnsi="Arial" w:cs="Arial"/>
              </w:rPr>
            </w:pPr>
            <w:r>
              <w:rPr>
                <w:rFonts w:ascii="Arial" w:hAnsi="Arial" w:cs="Arial"/>
              </w:rPr>
              <w:tab/>
            </w:r>
          </w:p>
          <w:p w:rsidR="000A6DDA" w:rsidRDefault="000A6DDA" w:rsidP="000A6DDA">
            <w:pPr>
              <w:shd w:val="clear" w:color="auto" w:fill="FFFFFF"/>
              <w:rPr>
                <w:rFonts w:ascii="Arial" w:hAnsi="Arial" w:cs="Arial"/>
                <w:i/>
              </w:rPr>
            </w:pPr>
            <w:r w:rsidRPr="00C1212D">
              <w:rPr>
                <w:rFonts w:ascii="Arial" w:hAnsi="Arial" w:cs="Arial"/>
                <w:b/>
              </w:rPr>
              <w:t>Choose 1</w:t>
            </w:r>
            <w:r>
              <w:rPr>
                <w:rFonts w:ascii="Arial" w:hAnsi="Arial" w:cs="Arial"/>
              </w:rPr>
              <w:t xml:space="preserve"> </w:t>
            </w:r>
            <w:r w:rsidRPr="00FD6163">
              <w:rPr>
                <w:rFonts w:ascii="Arial" w:hAnsi="Arial" w:cs="Arial"/>
                <w:b/>
              </w:rPr>
              <w:t>segment to view:</w:t>
            </w:r>
            <w:r>
              <w:rPr>
                <w:rFonts w:ascii="Arial" w:hAnsi="Arial" w:cs="Arial"/>
              </w:rPr>
              <w:t xml:space="preserve"> (</w:t>
            </w:r>
            <w:proofErr w:type="spellStart"/>
            <w:r>
              <w:rPr>
                <w:rFonts w:ascii="Arial" w:hAnsi="Arial" w:cs="Arial"/>
              </w:rPr>
              <w:t>i</w:t>
            </w:r>
            <w:proofErr w:type="spellEnd"/>
            <w:r>
              <w:rPr>
                <w:rFonts w:ascii="Arial" w:hAnsi="Arial" w:cs="Arial"/>
              </w:rPr>
              <w:t xml:space="preserve">) </w:t>
            </w:r>
            <w:r w:rsidRPr="00C1212D">
              <w:rPr>
                <w:rFonts w:ascii="Arial" w:hAnsi="Arial" w:cs="Arial"/>
                <w:i/>
              </w:rPr>
              <w:t>Implementing Visual Supports</w:t>
            </w:r>
            <w:r>
              <w:rPr>
                <w:rFonts w:ascii="Arial" w:hAnsi="Arial" w:cs="Arial"/>
              </w:rPr>
              <w:t xml:space="preserve">; (ii) </w:t>
            </w:r>
            <w:r w:rsidRPr="00C1212D">
              <w:rPr>
                <w:rFonts w:ascii="Arial" w:hAnsi="Arial" w:cs="Arial"/>
                <w:i/>
              </w:rPr>
              <w:t>Using Picture and Object Schedules</w:t>
            </w:r>
            <w:r>
              <w:rPr>
                <w:rFonts w:ascii="Arial" w:hAnsi="Arial" w:cs="Arial"/>
              </w:rPr>
              <w:t xml:space="preserve">; (iii) </w:t>
            </w:r>
            <w:r>
              <w:rPr>
                <w:rFonts w:ascii="Arial" w:hAnsi="Arial" w:cs="Arial"/>
                <w:i/>
              </w:rPr>
              <w:t>Accommodating Children W</w:t>
            </w:r>
            <w:r w:rsidRPr="00C1212D">
              <w:rPr>
                <w:rFonts w:ascii="Arial" w:hAnsi="Arial" w:cs="Arial"/>
                <w:i/>
              </w:rPr>
              <w:t>ho are Over or Under Sensitive</w:t>
            </w:r>
            <w:r>
              <w:rPr>
                <w:rFonts w:ascii="Arial" w:hAnsi="Arial" w:cs="Arial"/>
              </w:rPr>
              <w:t xml:space="preserve">; (iv) </w:t>
            </w:r>
            <w:r w:rsidRPr="00C1212D">
              <w:rPr>
                <w:rFonts w:ascii="Arial" w:hAnsi="Arial" w:cs="Arial"/>
                <w:i/>
              </w:rPr>
              <w:t>Using Pictures to Enhance Activities;</w:t>
            </w:r>
            <w:r>
              <w:rPr>
                <w:rFonts w:ascii="Arial" w:hAnsi="Arial" w:cs="Arial"/>
              </w:rPr>
              <w:t xml:space="preserve"> (v) </w:t>
            </w:r>
            <w:r>
              <w:rPr>
                <w:rFonts w:ascii="Arial" w:hAnsi="Arial" w:cs="Arial"/>
                <w:i/>
              </w:rPr>
              <w:t xml:space="preserve">Relaxation Techniques (School </w:t>
            </w:r>
            <w:r w:rsidRPr="0016097A">
              <w:rPr>
                <w:rFonts w:ascii="Arial" w:hAnsi="Arial" w:cs="Arial"/>
                <w:i/>
              </w:rPr>
              <w:t>A</w:t>
            </w:r>
            <w:r>
              <w:rPr>
                <w:rFonts w:ascii="Arial" w:hAnsi="Arial" w:cs="Arial"/>
                <w:i/>
              </w:rPr>
              <w:t>ge</w:t>
            </w:r>
            <w:r w:rsidRPr="00F423CB">
              <w:rPr>
                <w:rFonts w:ascii="Arial" w:hAnsi="Arial" w:cs="Arial"/>
                <w:i/>
              </w:rPr>
              <w:t>);</w:t>
            </w:r>
            <w:r w:rsidRPr="00F423CB">
              <w:rPr>
                <w:rFonts w:ascii="Arial" w:hAnsi="Arial" w:cs="Arial"/>
              </w:rPr>
              <w:t xml:space="preserve"> </w:t>
            </w:r>
            <w:r>
              <w:rPr>
                <w:rFonts w:ascii="Arial" w:hAnsi="Arial" w:cs="Arial"/>
              </w:rPr>
              <w:t xml:space="preserve">(vi) </w:t>
            </w:r>
            <w:r w:rsidRPr="00F423CB">
              <w:rPr>
                <w:rFonts w:ascii="Arial" w:hAnsi="Arial" w:cs="Arial"/>
                <w:i/>
              </w:rPr>
              <w:t>Defining Expectations (SA);</w:t>
            </w:r>
            <w:r>
              <w:rPr>
                <w:rFonts w:ascii="Arial" w:hAnsi="Arial" w:cs="Arial"/>
              </w:rPr>
              <w:t xml:space="preserve"> or (vii) </w:t>
            </w:r>
            <w:r>
              <w:rPr>
                <w:rFonts w:ascii="Arial" w:hAnsi="Arial" w:cs="Arial"/>
                <w:i/>
              </w:rPr>
              <w:t>Supporting Communication</w:t>
            </w:r>
          </w:p>
          <w:p w:rsidR="000A6DDA" w:rsidRPr="000A6DDA" w:rsidRDefault="000A6DDA" w:rsidP="000A6DDA">
            <w:pPr>
              <w:shd w:val="clear" w:color="auto" w:fill="FFFFFF"/>
              <w:rPr>
                <w:rFonts w:ascii="Arial" w:hAnsi="Arial" w:cs="Arial"/>
              </w:rPr>
            </w:pPr>
            <w:r>
              <w:rPr>
                <w:rFonts w:ascii="Arial" w:hAnsi="Arial" w:cs="Arial"/>
                <w:i/>
              </w:rPr>
              <w:tab/>
            </w:r>
            <w:r>
              <w:rPr>
                <w:rFonts w:ascii="Arial" w:hAnsi="Arial" w:cs="Arial"/>
              </w:rPr>
              <w:t xml:space="preserve">Describe the strategies that were being used in the video, and discuss how you could use these techniques in your own situation. Then, put it into practice and report back on your outcomes. </w:t>
            </w:r>
          </w:p>
        </w:tc>
      </w:tr>
      <w:tr w:rsidR="009625A4" w:rsidRPr="007671D8" w:rsidTr="00E52BC7">
        <w:tc>
          <w:tcPr>
            <w:tcW w:w="2394" w:type="dxa"/>
          </w:tcPr>
          <w:p w:rsidR="009625A4" w:rsidRPr="007671D8" w:rsidRDefault="009625A4" w:rsidP="00E52BC7">
            <w:pPr>
              <w:rPr>
                <w:rFonts w:ascii="Arial" w:hAnsi="Arial" w:cs="Arial"/>
                <w:b/>
              </w:rPr>
            </w:pPr>
            <w:r w:rsidRPr="007671D8">
              <w:rPr>
                <w:rFonts w:ascii="Arial" w:hAnsi="Arial" w:cs="Arial"/>
                <w:b/>
              </w:rPr>
              <w:t>Criteria</w:t>
            </w:r>
          </w:p>
        </w:tc>
        <w:tc>
          <w:tcPr>
            <w:tcW w:w="2394" w:type="dxa"/>
          </w:tcPr>
          <w:p w:rsidR="009625A4" w:rsidRPr="007671D8" w:rsidRDefault="009625A4" w:rsidP="00E52BC7">
            <w:pPr>
              <w:jc w:val="center"/>
              <w:rPr>
                <w:rFonts w:ascii="Arial" w:hAnsi="Arial" w:cs="Arial"/>
                <w:b/>
                <w:i/>
              </w:rPr>
            </w:pPr>
            <w:r w:rsidRPr="007671D8">
              <w:rPr>
                <w:rFonts w:ascii="Arial" w:hAnsi="Arial" w:cs="Arial"/>
                <w:b/>
                <w:i/>
              </w:rPr>
              <w:t>Accomplished</w:t>
            </w:r>
          </w:p>
        </w:tc>
        <w:tc>
          <w:tcPr>
            <w:tcW w:w="2394" w:type="dxa"/>
          </w:tcPr>
          <w:p w:rsidR="009625A4" w:rsidRPr="007671D8" w:rsidRDefault="009625A4" w:rsidP="00E52BC7">
            <w:pPr>
              <w:jc w:val="center"/>
              <w:rPr>
                <w:rFonts w:ascii="Arial" w:hAnsi="Arial" w:cs="Arial"/>
                <w:b/>
                <w:i/>
              </w:rPr>
            </w:pPr>
            <w:r w:rsidRPr="007671D8">
              <w:rPr>
                <w:rFonts w:ascii="Arial" w:hAnsi="Arial" w:cs="Arial"/>
                <w:b/>
                <w:i/>
              </w:rPr>
              <w:t>Emerging</w:t>
            </w:r>
          </w:p>
        </w:tc>
        <w:tc>
          <w:tcPr>
            <w:tcW w:w="2394" w:type="dxa"/>
          </w:tcPr>
          <w:p w:rsidR="009625A4" w:rsidRPr="007671D8" w:rsidRDefault="009625A4" w:rsidP="00E52BC7">
            <w:pPr>
              <w:jc w:val="center"/>
              <w:rPr>
                <w:rFonts w:ascii="Arial" w:hAnsi="Arial" w:cs="Arial"/>
                <w:b/>
                <w:i/>
              </w:rPr>
            </w:pPr>
            <w:r w:rsidRPr="007671D8">
              <w:rPr>
                <w:rFonts w:ascii="Arial" w:hAnsi="Arial" w:cs="Arial"/>
                <w:b/>
                <w:i/>
              </w:rPr>
              <w:t>Attempted</w:t>
            </w:r>
          </w:p>
        </w:tc>
      </w:tr>
      <w:tr w:rsidR="009625A4" w:rsidRPr="007671D8" w:rsidTr="00E52BC7">
        <w:tc>
          <w:tcPr>
            <w:tcW w:w="2394" w:type="dxa"/>
          </w:tcPr>
          <w:p w:rsidR="009625A4" w:rsidRPr="007671D8" w:rsidRDefault="009625A4" w:rsidP="00E52BC7">
            <w:pPr>
              <w:rPr>
                <w:rFonts w:ascii="Arial" w:hAnsi="Arial" w:cs="Arial"/>
                <w:i/>
              </w:rPr>
            </w:pPr>
            <w:r w:rsidRPr="007671D8">
              <w:rPr>
                <w:rFonts w:ascii="Arial" w:hAnsi="Arial" w:cs="Arial"/>
                <w:i/>
              </w:rPr>
              <w:t>1. Explains ‘external supports’ in terms of self-regulation</w:t>
            </w:r>
          </w:p>
        </w:tc>
        <w:tc>
          <w:tcPr>
            <w:tcW w:w="2394" w:type="dxa"/>
          </w:tcPr>
          <w:p w:rsidR="009625A4" w:rsidRPr="007671D8" w:rsidRDefault="009625A4" w:rsidP="00E52BC7">
            <w:pPr>
              <w:rPr>
                <w:rFonts w:ascii="Arial" w:hAnsi="Arial" w:cs="Arial"/>
              </w:rPr>
            </w:pPr>
            <w:r w:rsidRPr="007671D8">
              <w:rPr>
                <w:rFonts w:ascii="Arial" w:hAnsi="Arial" w:cs="Arial"/>
              </w:rPr>
              <w:t xml:space="preserve">Clearly describes ‘external supports’ with examples of child behavior </w:t>
            </w:r>
          </w:p>
        </w:tc>
        <w:tc>
          <w:tcPr>
            <w:tcW w:w="2394" w:type="dxa"/>
          </w:tcPr>
          <w:p w:rsidR="009625A4" w:rsidRPr="007671D8" w:rsidRDefault="009625A4" w:rsidP="00E52BC7">
            <w:pPr>
              <w:rPr>
                <w:rFonts w:ascii="Arial" w:hAnsi="Arial" w:cs="Arial"/>
              </w:rPr>
            </w:pPr>
            <w:r w:rsidRPr="007671D8">
              <w:rPr>
                <w:rFonts w:ascii="Arial" w:hAnsi="Arial" w:cs="Arial"/>
              </w:rPr>
              <w:t xml:space="preserve">Explains the term ‘external supports’ </w:t>
            </w:r>
          </w:p>
        </w:tc>
        <w:tc>
          <w:tcPr>
            <w:tcW w:w="2394" w:type="dxa"/>
          </w:tcPr>
          <w:p w:rsidR="009625A4" w:rsidRPr="007671D8" w:rsidRDefault="009625A4" w:rsidP="00E52BC7">
            <w:pPr>
              <w:rPr>
                <w:rFonts w:ascii="Arial" w:hAnsi="Arial" w:cs="Arial"/>
              </w:rPr>
            </w:pPr>
            <w:r w:rsidRPr="007671D8">
              <w:rPr>
                <w:rFonts w:ascii="Arial" w:hAnsi="Arial" w:cs="Arial"/>
              </w:rPr>
              <w:t>Some reference to the term and its meaning</w:t>
            </w:r>
          </w:p>
        </w:tc>
      </w:tr>
      <w:tr w:rsidR="009625A4" w:rsidRPr="007671D8" w:rsidTr="00E52BC7">
        <w:tc>
          <w:tcPr>
            <w:tcW w:w="2394" w:type="dxa"/>
          </w:tcPr>
          <w:p w:rsidR="009625A4" w:rsidRPr="007671D8" w:rsidRDefault="009625A4" w:rsidP="00E52BC7">
            <w:pPr>
              <w:rPr>
                <w:rFonts w:ascii="Arial" w:hAnsi="Arial" w:cs="Arial"/>
                <w:i/>
              </w:rPr>
            </w:pPr>
            <w:r w:rsidRPr="007671D8">
              <w:rPr>
                <w:rFonts w:ascii="Arial" w:hAnsi="Arial" w:cs="Arial"/>
                <w:i/>
              </w:rPr>
              <w:t>2. Explains temperament  in terms of self-regulation</w:t>
            </w:r>
          </w:p>
        </w:tc>
        <w:tc>
          <w:tcPr>
            <w:tcW w:w="2394" w:type="dxa"/>
          </w:tcPr>
          <w:p w:rsidR="009625A4" w:rsidRPr="007671D8" w:rsidRDefault="009625A4" w:rsidP="00E52BC7">
            <w:pPr>
              <w:rPr>
                <w:rFonts w:ascii="Arial" w:hAnsi="Arial" w:cs="Arial"/>
              </w:rPr>
            </w:pPr>
            <w:r w:rsidRPr="007671D8">
              <w:rPr>
                <w:rFonts w:ascii="Arial" w:hAnsi="Arial" w:cs="Arial"/>
              </w:rPr>
              <w:t>Clearly explains different types of temperament with examples of child behavior</w:t>
            </w:r>
          </w:p>
        </w:tc>
        <w:tc>
          <w:tcPr>
            <w:tcW w:w="2394" w:type="dxa"/>
          </w:tcPr>
          <w:p w:rsidR="009625A4" w:rsidRPr="007671D8" w:rsidRDefault="009625A4" w:rsidP="00E52BC7">
            <w:pPr>
              <w:rPr>
                <w:rFonts w:ascii="Arial" w:hAnsi="Arial" w:cs="Arial"/>
              </w:rPr>
            </w:pPr>
            <w:r w:rsidRPr="007671D8">
              <w:rPr>
                <w:rFonts w:ascii="Arial" w:hAnsi="Arial" w:cs="Arial"/>
              </w:rPr>
              <w:t>Explains what temperament means and refers to child behavior</w:t>
            </w:r>
          </w:p>
        </w:tc>
        <w:tc>
          <w:tcPr>
            <w:tcW w:w="2394" w:type="dxa"/>
          </w:tcPr>
          <w:p w:rsidR="009625A4" w:rsidRPr="007671D8" w:rsidRDefault="009625A4" w:rsidP="00E52BC7">
            <w:pPr>
              <w:rPr>
                <w:rFonts w:ascii="Arial" w:hAnsi="Arial" w:cs="Arial"/>
              </w:rPr>
            </w:pPr>
            <w:r w:rsidRPr="007671D8">
              <w:rPr>
                <w:rFonts w:ascii="Arial" w:hAnsi="Arial" w:cs="Arial"/>
              </w:rPr>
              <w:t>Some explanation of temperament in young children</w:t>
            </w:r>
          </w:p>
        </w:tc>
      </w:tr>
      <w:tr w:rsidR="009625A4" w:rsidRPr="007671D8" w:rsidTr="00E52BC7">
        <w:tc>
          <w:tcPr>
            <w:tcW w:w="2394" w:type="dxa"/>
          </w:tcPr>
          <w:p w:rsidR="009625A4" w:rsidRPr="007671D8" w:rsidRDefault="009625A4" w:rsidP="00E52BC7">
            <w:pPr>
              <w:rPr>
                <w:rFonts w:ascii="Arial" w:hAnsi="Arial" w:cs="Arial"/>
                <w:i/>
              </w:rPr>
            </w:pPr>
            <w:r w:rsidRPr="007671D8">
              <w:rPr>
                <w:rFonts w:ascii="Arial" w:hAnsi="Arial" w:cs="Arial"/>
                <w:i/>
              </w:rPr>
              <w:t>3. Explains ‘goodness of fit’ in terms of self-regulation</w:t>
            </w:r>
          </w:p>
        </w:tc>
        <w:tc>
          <w:tcPr>
            <w:tcW w:w="2394" w:type="dxa"/>
          </w:tcPr>
          <w:p w:rsidR="009625A4" w:rsidRPr="007671D8" w:rsidRDefault="009625A4" w:rsidP="00E52BC7">
            <w:pPr>
              <w:rPr>
                <w:rFonts w:ascii="Arial" w:hAnsi="Arial" w:cs="Arial"/>
              </w:rPr>
            </w:pPr>
            <w:r w:rsidRPr="007671D8">
              <w:rPr>
                <w:rFonts w:ascii="Arial" w:hAnsi="Arial" w:cs="Arial"/>
              </w:rPr>
              <w:t>Clearly explains goodness of fit in selecting strategies for children; includes examples of child behavior</w:t>
            </w:r>
          </w:p>
        </w:tc>
        <w:tc>
          <w:tcPr>
            <w:tcW w:w="2394" w:type="dxa"/>
          </w:tcPr>
          <w:p w:rsidR="009625A4" w:rsidRPr="007671D8" w:rsidRDefault="009625A4" w:rsidP="00E52BC7">
            <w:pPr>
              <w:rPr>
                <w:rFonts w:ascii="Arial" w:hAnsi="Arial" w:cs="Arial"/>
              </w:rPr>
            </w:pPr>
            <w:r w:rsidRPr="007671D8">
              <w:rPr>
                <w:rFonts w:ascii="Arial" w:hAnsi="Arial" w:cs="Arial"/>
              </w:rPr>
              <w:t>Explains the term goodness of fit; some references to child behavior and teacher strategies</w:t>
            </w:r>
          </w:p>
        </w:tc>
        <w:tc>
          <w:tcPr>
            <w:tcW w:w="2394" w:type="dxa"/>
          </w:tcPr>
          <w:p w:rsidR="009625A4" w:rsidRPr="007671D8" w:rsidRDefault="009625A4" w:rsidP="00E52BC7">
            <w:pPr>
              <w:rPr>
                <w:rFonts w:ascii="Arial" w:hAnsi="Arial" w:cs="Arial"/>
              </w:rPr>
            </w:pPr>
            <w:r w:rsidRPr="007671D8">
              <w:rPr>
                <w:rFonts w:ascii="Arial" w:hAnsi="Arial" w:cs="Arial"/>
              </w:rPr>
              <w:t>Some reference to the term and its relationship to child behavior</w:t>
            </w:r>
          </w:p>
        </w:tc>
      </w:tr>
      <w:tr w:rsidR="000A6DDA" w:rsidRPr="007671D8" w:rsidTr="00E52BC7">
        <w:tc>
          <w:tcPr>
            <w:tcW w:w="2394" w:type="dxa"/>
          </w:tcPr>
          <w:p w:rsidR="000A6DDA" w:rsidRPr="007671D8" w:rsidRDefault="000A6DDA" w:rsidP="000A6DDA">
            <w:pPr>
              <w:rPr>
                <w:rFonts w:ascii="Arial" w:hAnsi="Arial" w:cs="Arial"/>
                <w:i/>
              </w:rPr>
            </w:pPr>
            <w:r>
              <w:rPr>
                <w:rFonts w:ascii="Arial" w:hAnsi="Arial" w:cs="Arial"/>
                <w:i/>
              </w:rPr>
              <w:t>Reports on implementation of coping strategies  activities with children</w:t>
            </w:r>
          </w:p>
        </w:tc>
        <w:tc>
          <w:tcPr>
            <w:tcW w:w="2394" w:type="dxa"/>
          </w:tcPr>
          <w:p w:rsidR="000A6DDA" w:rsidRPr="007671D8" w:rsidRDefault="000A6DDA" w:rsidP="00E52BC7">
            <w:pPr>
              <w:rPr>
                <w:rFonts w:ascii="Arial" w:hAnsi="Arial" w:cs="Arial"/>
              </w:rPr>
            </w:pPr>
            <w:r>
              <w:rPr>
                <w:rFonts w:ascii="Arial" w:hAnsi="Arial" w:cs="Arial"/>
              </w:rPr>
              <w:t>Detailed report of implementation over time, with several examples</w:t>
            </w:r>
          </w:p>
        </w:tc>
        <w:tc>
          <w:tcPr>
            <w:tcW w:w="2394" w:type="dxa"/>
          </w:tcPr>
          <w:p w:rsidR="000A6DDA" w:rsidRPr="007671D8" w:rsidRDefault="000A6DDA" w:rsidP="00E52BC7">
            <w:pPr>
              <w:rPr>
                <w:rFonts w:ascii="Arial" w:hAnsi="Arial" w:cs="Arial"/>
              </w:rPr>
            </w:pPr>
            <w:r>
              <w:rPr>
                <w:rFonts w:ascii="Arial" w:hAnsi="Arial" w:cs="Arial"/>
              </w:rPr>
              <w:t>Report of implementation, with at least one example</w:t>
            </w:r>
          </w:p>
        </w:tc>
        <w:tc>
          <w:tcPr>
            <w:tcW w:w="2394" w:type="dxa"/>
          </w:tcPr>
          <w:p w:rsidR="000A6DDA" w:rsidRPr="007671D8" w:rsidRDefault="000A6DDA" w:rsidP="00E52BC7">
            <w:pPr>
              <w:rPr>
                <w:rFonts w:ascii="Arial" w:hAnsi="Arial" w:cs="Arial"/>
              </w:rPr>
            </w:pPr>
            <w:r>
              <w:rPr>
                <w:rFonts w:ascii="Arial" w:hAnsi="Arial" w:cs="Arial"/>
              </w:rPr>
              <w:t>Report of attempted implementation; some reference to practice</w:t>
            </w:r>
          </w:p>
        </w:tc>
      </w:tr>
      <w:tr w:rsidR="00B0573B" w:rsidRPr="007671D8" w:rsidTr="00BA4DAF">
        <w:tc>
          <w:tcPr>
            <w:tcW w:w="9576" w:type="dxa"/>
            <w:gridSpan w:val="4"/>
          </w:tcPr>
          <w:p w:rsidR="00B0573B" w:rsidRPr="00B0573B" w:rsidRDefault="00B0573B" w:rsidP="00E52BC7">
            <w:pPr>
              <w:rPr>
                <w:rFonts w:ascii="Arial" w:hAnsi="Arial" w:cs="Arial"/>
              </w:rPr>
            </w:pPr>
            <w:r w:rsidRPr="00B0573B">
              <w:rPr>
                <w:rFonts w:ascii="Arial" w:hAnsi="Arial" w:cs="Arial"/>
                <w:b/>
              </w:rPr>
              <w:t>Comments:</w:t>
            </w:r>
            <w:r>
              <w:rPr>
                <w:rFonts w:ascii="Arial" w:hAnsi="Arial" w:cs="Arial"/>
                <w:b/>
              </w:rPr>
              <w:t xml:space="preserve"> </w:t>
            </w:r>
          </w:p>
          <w:p w:rsidR="00B0573B" w:rsidRDefault="00B0573B" w:rsidP="00E52BC7">
            <w:pPr>
              <w:rPr>
                <w:rFonts w:ascii="Arial" w:hAnsi="Arial" w:cs="Arial"/>
              </w:rPr>
            </w:pPr>
          </w:p>
          <w:p w:rsidR="000A6DDA" w:rsidRDefault="000A6DDA" w:rsidP="00E52BC7">
            <w:pPr>
              <w:rPr>
                <w:rFonts w:ascii="Arial" w:hAnsi="Arial" w:cs="Arial"/>
              </w:rPr>
            </w:pPr>
          </w:p>
          <w:p w:rsidR="000A6DDA" w:rsidRPr="00B0573B" w:rsidRDefault="000A6DDA" w:rsidP="00E52BC7">
            <w:pPr>
              <w:rPr>
                <w:rFonts w:ascii="Arial" w:hAnsi="Arial" w:cs="Arial"/>
              </w:rPr>
            </w:pPr>
          </w:p>
          <w:p w:rsidR="00B0573B" w:rsidRPr="007671D8" w:rsidRDefault="00B0573B" w:rsidP="00E52BC7">
            <w:pPr>
              <w:rPr>
                <w:rFonts w:ascii="Arial" w:hAnsi="Arial" w:cs="Arial"/>
              </w:rPr>
            </w:pPr>
          </w:p>
        </w:tc>
      </w:tr>
    </w:tbl>
    <w:p w:rsidR="009625A4" w:rsidRDefault="009625A4"/>
    <w:sectPr w:rsidR="009625A4" w:rsidSect="006147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25A4"/>
    <w:rsid w:val="000A6DDA"/>
    <w:rsid w:val="00225A46"/>
    <w:rsid w:val="002450FB"/>
    <w:rsid w:val="006147FD"/>
    <w:rsid w:val="007518BC"/>
    <w:rsid w:val="00875108"/>
    <w:rsid w:val="009625A4"/>
    <w:rsid w:val="00B0573B"/>
    <w:rsid w:val="00B1501C"/>
    <w:rsid w:val="00E35056"/>
    <w:rsid w:val="00E66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7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25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25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DLickey</cp:lastModifiedBy>
  <cp:revision>2</cp:revision>
  <dcterms:created xsi:type="dcterms:W3CDTF">2011-11-07T16:46:00Z</dcterms:created>
  <dcterms:modified xsi:type="dcterms:W3CDTF">2011-11-07T16:46:00Z</dcterms:modified>
</cp:coreProperties>
</file>